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Ragioneria - Economato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Ragioneria gestisce tutti i dati contabili dell'Ente e si occupa della predisposizione di: bilancio di previsione annuale, bilancio pluriennale e relazione previsionale e programmatica, piano esecutivo di gestione, variazioni di bilancio e prelievi dal fondo di riserva, rendiconto della gestione. Emette i mandati di pagamento e le reversali di incasso e svolge verifiche periodiche sulla gestione delle entrate e delle spese comunali. Collabora con i Responsabili di Area e di Servizio nella gestione del budget di rispettiva competenza e con la Tesoreria Comunale nella gestione della cassa. Cura tutti gli adempimenti fiscali dell'Ente, compresi quelli inerenti il personale dipendente.</w:t>
      </w:r>
    </w:p>
    <w:p>
      <w:pPr>
        <w:jc w:val="both"/>
      </w:pPr>
      <w:r>
        <w:rPr>
          <w:rFonts w:ascii="Times New Roman" w:hAnsi="Times New Roman"/>
          <w:sz w:val="22"/>
          <w:szCs w:val="22"/>
        </w:rPr>
        <w:t xml:space="preserve">All'interno del Servizio di Ragioneria e' ricompreso l'Ufficio Economato che svolge le attivita' relative agli acquisti di modica entita' per tutti i servizi comunali.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Chiara Cinzia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Versamenti addizionale regionale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Verifiche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Comunicazione di conto corrente dedicato ad appalti e commesse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Controllo amministrativo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Piani di approvvigionamento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Consegna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Assegnazione delle sedi farmaceutiche di nuova istituzione e delle sedi vacanti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Servizio di parafarmacia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Ragioneria - Economato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