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Consiglio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Per gli Enti Locali, i consigli comunali dei comuni con popolazione superiore a 15.000 abitanti sono presieduti da un presidente eletto tra i consiglieri. Nei comuni con popolazione inferiore ai 15.000 abitanti il consiglio e' presieduto dal sindaco (Artt. 37, 39 e 42, D.Lgs. n.267 del 18/08/2000).</w:t>
      </w:r>
    </w:p>
    <w:p>
      <w:pPr>
        <w:jc w:val="both"/>
      </w:pPr>
      <w:r>
        <w:rPr>
          <w:rFonts w:ascii="Times New Roman" w:hAnsi="Times New Roman"/>
          <w:sz w:val="22"/>
          <w:szCs w:val="22"/>
        </w:rPr>
        <w:t xml:space="preserve">Le materie di competenza del Consiglio sono definite, per gli Enti Locali, dal'art. 42 del D.Lgs. n. 267/2000.</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Procedure di valutazione relative all'analisi dell'impatto della regolamentazione (AIR) ai sensi dell'art.14, comma 1,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Procedure di valutazione relative alla verifica dell'impatto della regolamentazione (VIR) ai sensi dell'art. 14, comma 4,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Organismi di decentramento e di partecipazione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